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both"/>
        <w:rPr>
          <w:rFonts w:hint="eastAsia" w:asciiTheme="majorEastAsia" w:hAnsiTheme="majorEastAsia" w:eastAsiaTheme="majorEastAsia" w:cstheme="majorEastAsia"/>
          <w:b w:val="0"/>
          <w:bCs/>
          <w:sz w:val="32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 w:val="0"/>
          <w:sz w:val="28"/>
          <w:szCs w:val="24"/>
          <w:lang w:eastAsia="zh-CN"/>
        </w:rPr>
        <w:t>附件</w:t>
      </w:r>
      <w:r>
        <w:rPr>
          <w:rFonts w:hint="eastAsia" w:asciiTheme="majorEastAsia" w:hAnsiTheme="majorEastAsia" w:eastAsiaTheme="majorEastAsia" w:cstheme="majorEastAsia"/>
          <w:b/>
          <w:bCs w:val="0"/>
          <w:sz w:val="28"/>
          <w:szCs w:val="24"/>
          <w:lang w:val="en-US" w:eastAsia="zh-CN"/>
        </w:rPr>
        <w:t>2：</w:t>
      </w:r>
      <w:bookmarkStart w:id="1" w:name="_GoBack"/>
      <w:bookmarkEnd w:id="1"/>
    </w:p>
    <w:p>
      <w:pPr>
        <w:ind w:firstLine="0" w:firstLineChars="0"/>
        <w:jc w:val="center"/>
        <w:rPr>
          <w:rFonts w:hint="eastAsia" w:ascii="方正小标宋_GBK" w:hAnsi="方正小标宋_GBK" w:eastAsia="方正小标宋_GBK" w:cs="方正小标宋_GBK"/>
          <w:b/>
          <w:sz w:val="40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sz w:val="40"/>
          <w:szCs w:val="36"/>
          <w:lang w:eastAsia="zh-CN"/>
        </w:rPr>
        <w:t>上海国家会计学院远程教育网</w:t>
      </w:r>
    </w:p>
    <w:p>
      <w:pPr>
        <w:ind w:firstLine="0" w:firstLineChars="0"/>
        <w:jc w:val="center"/>
        <w:rPr>
          <w:rFonts w:hint="eastAsia" w:ascii="方正小标宋_GBK" w:hAnsi="方正小标宋_GBK" w:eastAsia="方正小标宋_GBK" w:cs="方正小标宋_GBK"/>
          <w:b/>
          <w:sz w:val="36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sz w:val="40"/>
          <w:szCs w:val="36"/>
          <w:lang w:eastAsia="zh-CN"/>
        </w:rPr>
        <w:t>培训流程及课程目录</w:t>
      </w:r>
    </w:p>
    <w:p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40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40"/>
          <w:lang w:eastAsia="zh-CN"/>
        </w:rPr>
        <w:t>一、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40"/>
        </w:rPr>
        <w:t>登录网站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（1）学员登陆河北省注册会计师网络继续教育培训专区（http://hbcpa.ce.esnai.net），在登录区域输入姓名、身份证号，点击登录。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 w:firstLineChars="0"/>
        <w:jc w:val="center"/>
        <w:rPr>
          <w:rFonts w:ascii="宋体" w:hAnsi="宋体" w:cs="宋体"/>
          <w:color w:val="333333"/>
          <w:kern w:val="0"/>
          <w:sz w:val="24"/>
        </w:rPr>
      </w:pPr>
      <w:r>
        <w:drawing>
          <wp:inline distT="0" distB="0" distL="0" distR="0">
            <wp:extent cx="5636895" cy="2353310"/>
            <wp:effectExtent l="0" t="0" r="190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（2）补充个人信息。执业会员登陆后，培训系统将从数据库中读取学员姓名。其余个人信息，需根据系统提示的字段进行补充。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 w:firstLineChars="0"/>
        <w:jc w:val="center"/>
        <w:rPr>
          <w:rFonts w:ascii="宋体" w:hAnsi="宋体" w:cs="宋体"/>
          <w:color w:val="333333"/>
          <w:kern w:val="0"/>
          <w:sz w:val="24"/>
        </w:rPr>
      </w:pPr>
      <w:r>
        <w:drawing>
          <wp:inline distT="0" distB="0" distL="0" distR="0">
            <wp:extent cx="5420360" cy="1547495"/>
            <wp:effectExtent l="0" t="0" r="889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t="-1" b="27629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1547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40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40"/>
          <w:lang w:eastAsia="zh-CN"/>
        </w:rPr>
        <w:t>二、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40"/>
        </w:rPr>
        <w:t>付款开通培训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40"/>
          <w:lang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40"/>
        </w:rPr>
        <w:t>（1）进入培训中心后，点击“点此付款以开通培训”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40"/>
          <w:lang w:eastAsia="zh-CN"/>
        </w:rPr>
        <w:t>。</w:t>
      </w:r>
    </w:p>
    <w:p>
      <w:pPr>
        <w:ind w:firstLine="0" w:firstLineChars="0"/>
      </w:pPr>
      <w:r>
        <w:drawing>
          <wp:inline distT="0" distB="0" distL="0" distR="0">
            <wp:extent cx="5811520" cy="2494915"/>
            <wp:effectExtent l="0" t="0" r="1778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rcRect b="6871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2494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40"/>
          <w:lang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40"/>
        </w:rPr>
        <w:t>（2）选择合适的付款方式，完成付款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40"/>
          <w:lang w:eastAsia="zh-CN"/>
        </w:rPr>
        <w:t>。</w:t>
      </w:r>
    </w:p>
    <w:p>
      <w:pPr>
        <w:ind w:firstLine="0" w:firstLineChars="0"/>
      </w:pPr>
      <w:r>
        <w:drawing>
          <wp:inline distT="0" distB="0" distL="0" distR="0">
            <wp:extent cx="5801995" cy="2143760"/>
            <wp:effectExtent l="0" t="0" r="825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724525" cy="2072640"/>
            <wp:effectExtent l="0" t="0" r="952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t="1108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72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40"/>
          <w:lang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40"/>
        </w:rPr>
        <w:t>（3）单位团体报名流程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4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38" w:leftChars="304" w:firstLine="0" w:firstLineChars="0"/>
        <w:jc w:val="both"/>
        <w:textAlignment w:val="auto"/>
        <w:rPr>
          <w:rFonts w:hint="eastAsia" w:ascii="方正仿宋_GBK" w:hAnsi="方正仿宋_GBK" w:eastAsia="方正仿宋_GBK" w:cs="方正仿宋_GBK"/>
          <w:color w:val="EE8833"/>
          <w:kern w:val="0"/>
          <w:sz w:val="32"/>
          <w:szCs w:val="32"/>
          <w:u w:val="single"/>
        </w:rPr>
      </w:pPr>
      <w:r>
        <w:rPr>
          <w:rFonts w:hint="default" w:ascii="Times New Roman" w:hAnsi="Times New Roman" w:eastAsia="方正仿宋_GBK" w:cs="Times New Roman"/>
          <w:color w:val="333333"/>
          <w:kern w:val="0"/>
          <w:sz w:val="32"/>
          <w:szCs w:val="32"/>
        </w:rPr>
        <w:t>1、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0"/>
          <w:u w:val="none"/>
        </w:rPr>
        <w:fldChar w:fldCharType="begin"/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0"/>
          <w:u w:val="none"/>
        </w:rPr>
        <w:instrText xml:space="preserve"> HYPERLINK "https://kf.esnai.net/uploads/files/%E5%89%AF%E6%9C%AC%E5%8D%95%E4%BD%8D%E5%9B%A2%E4%BD%93%E6%8A%A5%E5%90%8D%E8%A1%A8%EF%BC%88%E6%B2%B3%E5%8C%97%E6%B3%A8%E5%8D%8F%EF%BC%89.xlsx" </w:instrTex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0"/>
          <w:u w:val="none"/>
        </w:rPr>
        <w:fldChar w:fldCharType="separate"/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u w:val="none"/>
        </w:rPr>
        <w:t>下载单位团体报名表格（点此下载）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u w:val="none"/>
        </w:rPr>
        <w:fldChar w:fldCharType="end"/>
      </w:r>
      <w:bookmarkStart w:id="0" w:name="_MON_1710834230"/>
      <w:bookmarkEnd w:id="0"/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u w:val="none"/>
          <w:lang w:val="en-US" w:eastAsia="zh-CN"/>
        </w:rPr>
        <w:t xml:space="preserve">   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u w:val="none"/>
        </w:rPr>
        <w:object>
          <v:shape id="_x0000_i1025" o:spt="75" type="#_x0000_t75" style="height:52.8pt;width:85.7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17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333333"/>
          <w:kern w:val="0"/>
          <w:sz w:val="32"/>
          <w:szCs w:val="32"/>
        </w:rPr>
        <w:t>2、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填写报名表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请按报名表格式完整填写信息，包括参培人员名单、付款帐户、发票需求、发票邮寄地址及联系人，以方便团报处理和联系。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333333"/>
          <w:kern w:val="0"/>
          <w:sz w:val="32"/>
          <w:szCs w:val="32"/>
        </w:rPr>
        <w:t>3、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提交报名表。提交方式：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　　</w:t>
      </w:r>
      <w:r>
        <w:rPr>
          <w:rFonts w:hint="eastAsia" w:ascii="Times New Roman" w:hAnsi="Times New Roman" w:eastAsia="方正仿宋_GBK" w:cs="Times New Roman"/>
          <w:color w:val="333333"/>
          <w:kern w:val="0"/>
          <w:sz w:val="32"/>
          <w:szCs w:val="32"/>
        </w:rPr>
        <w:t>（1）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0"/>
          <w:u w:val="none"/>
        </w:rPr>
        <w:fldChar w:fldCharType="begin"/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0"/>
          <w:u w:val="none"/>
        </w:rPr>
        <w:instrText xml:space="preserve"> HYPERLINK "http://q.url.cn/s/zuGtq6m?_type=wpa&amp;isKfuin=1" \t "_blank" </w:instrTex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0"/>
          <w:u w:val="none"/>
        </w:rPr>
        <w:fldChar w:fldCharType="separate"/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u w:val="none"/>
        </w:rPr>
        <w:t>传给QQ在线客服（点此打开QQ客服窗口）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u w:val="none"/>
        </w:rPr>
        <w:fldChar w:fldCharType="end"/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（实时服务）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　　</w:t>
      </w:r>
      <w:r>
        <w:rPr>
          <w:rFonts w:hint="eastAsia" w:ascii="Times New Roman" w:hAnsi="Times New Roman" w:eastAsia="方正仿宋_GBK" w:cs="Times New Roman"/>
          <w:color w:val="333333"/>
          <w:kern w:val="0"/>
          <w:sz w:val="32"/>
          <w:szCs w:val="32"/>
        </w:rPr>
        <w:t>（2）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发送到团报邮箱tuanbao@esnai.net（非实时服务）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333333"/>
          <w:kern w:val="0"/>
          <w:sz w:val="32"/>
          <w:szCs w:val="32"/>
        </w:rPr>
        <w:t>4、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若有问题，团体报名前请与客服联系：</w:t>
      </w:r>
      <w:r>
        <w:rPr>
          <w:rFonts w:hint="eastAsia" w:ascii="Times New Roman" w:hAnsi="Times New Roman" w:eastAsia="方正仿宋_GBK" w:cs="Times New Roman"/>
          <w:color w:val="333333"/>
          <w:kern w:val="0"/>
          <w:sz w:val="32"/>
          <w:szCs w:val="32"/>
        </w:rPr>
        <w:t>400-900-5955（24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小时服务热线）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b/>
          <w:color w:val="333333"/>
          <w:w w:val="97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333333"/>
          <w:kern w:val="0"/>
          <w:sz w:val="32"/>
          <w:szCs w:val="32"/>
        </w:rPr>
        <w:t>5、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根据确认的培训费用汇款到指定帐号银行汇款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　　收款人：上海思耐文化传播有限公司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　　开户行：中国建设银行上海分行徐泾支行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　　账号：</w:t>
      </w:r>
      <w:r>
        <w:rPr>
          <w:rFonts w:hint="eastAsia" w:ascii="Times New Roman" w:hAnsi="Times New Roman" w:eastAsia="方正仿宋_GBK" w:cs="Times New Roman"/>
          <w:color w:val="333333"/>
          <w:kern w:val="0"/>
          <w:sz w:val="32"/>
          <w:szCs w:val="32"/>
        </w:rPr>
        <w:t>31001984300056000900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　　注：上海思耐文化传播有限公司系上海国家会计学院全资法人机构。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　　</w:t>
      </w:r>
      <w:r>
        <w:rPr>
          <w:rFonts w:hint="eastAsia" w:ascii="方正楷体_GBK" w:hAnsi="方正楷体_GBK" w:eastAsia="方正楷体_GBK" w:cs="方正楷体_GBK"/>
          <w:b/>
          <w:color w:val="333333"/>
          <w:w w:val="97"/>
          <w:kern w:val="0"/>
          <w:sz w:val="32"/>
          <w:szCs w:val="32"/>
        </w:rPr>
        <w:t>【提示】备注附言栏注明：河北注师</w:t>
      </w:r>
      <w:r>
        <w:rPr>
          <w:rFonts w:hint="default" w:ascii="Times New Roman" w:hAnsi="Times New Roman" w:eastAsia="方正楷体_GBK" w:cs="Times New Roman"/>
          <w:color w:val="333333"/>
          <w:w w:val="97"/>
          <w:kern w:val="0"/>
          <w:sz w:val="32"/>
          <w:szCs w:val="32"/>
        </w:rPr>
        <w:t>2022</w:t>
      </w:r>
      <w:r>
        <w:rPr>
          <w:rFonts w:hint="eastAsia" w:ascii="方正楷体_GBK" w:hAnsi="方正楷体_GBK" w:eastAsia="方正楷体_GBK" w:cs="方正楷体_GBK"/>
          <w:b/>
          <w:color w:val="333333"/>
          <w:w w:val="97"/>
          <w:kern w:val="0"/>
          <w:sz w:val="32"/>
          <w:szCs w:val="32"/>
        </w:rPr>
        <w:t>、联系人及联系电话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　　</w:t>
      </w:r>
      <w:r>
        <w:rPr>
          <w:rFonts w:hint="eastAsia" w:ascii="Times New Roman" w:hAnsi="Times New Roman" w:eastAsia="方正仿宋_GBK" w:cs="Times New Roman"/>
          <w:color w:val="333333"/>
          <w:kern w:val="0"/>
          <w:sz w:val="32"/>
          <w:szCs w:val="32"/>
        </w:rPr>
        <w:t>6、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汇款后可联系QQ客服，查到帐款后可马上开通所有人员的培训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同行汇款可即时到帐，跨行可能</w:t>
      </w:r>
      <w:r>
        <w:rPr>
          <w:rFonts w:hint="eastAsia" w:ascii="Times New Roman" w:hAnsi="Times New Roman" w:eastAsia="方正仿宋_GBK" w:cs="Times New Roman"/>
          <w:color w:val="333333"/>
          <w:kern w:val="0"/>
          <w:sz w:val="32"/>
          <w:szCs w:val="32"/>
        </w:rPr>
        <w:t>1-2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天到帐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</w:rPr>
        <w:t>。</w:t>
      </w:r>
    </w:p>
    <w:p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/>
          <w:sz w:val="32"/>
          <w:szCs w:val="40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40"/>
          <w:lang w:eastAsia="zh-CN"/>
        </w:rPr>
        <w:t>三、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40"/>
        </w:rPr>
        <w:t>试听选课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登录成功后，进入选课环节。点击“选课按钮”，按照类别选择需要的课程，您也可以按照需要先进行“试听”。 试听后如觉满意，点击“选课”按钮，即可快速完成选课。</w:t>
      </w:r>
    </w:p>
    <w:p>
      <w:pPr>
        <w:ind w:firstLine="0" w:firstLineChars="0"/>
      </w:pPr>
      <w:r>
        <w:drawing>
          <wp:inline distT="0" distB="0" distL="0" distR="0">
            <wp:extent cx="5810885" cy="3173095"/>
            <wp:effectExtent l="0" t="0" r="1841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5691505" cy="3123565"/>
            <wp:effectExtent l="0" t="0" r="444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 w:firstLineChars="0"/>
        <w:rPr>
          <w:rFonts w:ascii="宋体" w:hAnsi="宋体" w:cs="宋体"/>
          <w:b/>
          <w:color w:val="FF0000"/>
          <w:kern w:val="0"/>
          <w:sz w:val="24"/>
        </w:rPr>
      </w:pPr>
      <w:r>
        <w:rPr>
          <w:rFonts w:ascii="宋体" w:hAnsi="宋体" w:cs="宋体"/>
          <w:b/>
          <w:color w:val="FF0000"/>
          <w:kern w:val="0"/>
          <w:sz w:val="24"/>
        </w:rPr>
        <w:t>注</w:t>
      </w:r>
      <w:r>
        <w:rPr>
          <w:rFonts w:hint="eastAsia" w:ascii="宋体" w:hAnsi="宋体" w:cs="宋体"/>
          <w:b/>
          <w:color w:val="FF0000"/>
          <w:kern w:val="0"/>
          <w:sz w:val="24"/>
        </w:rPr>
        <w:t>：每位学员需参加职业道德、职业价值观与职业态度课程，学习时长不少于4学时。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 w:firstLineChars="0"/>
        <w:rPr>
          <w:rFonts w:ascii="宋体" w:hAnsi="宋体" w:cs="宋体"/>
          <w:b/>
          <w:color w:val="FF0000"/>
          <w:kern w:val="0"/>
          <w:sz w:val="24"/>
        </w:rPr>
      </w:pPr>
      <w:r>
        <w:drawing>
          <wp:inline distT="0" distB="0" distL="0" distR="0">
            <wp:extent cx="5628640" cy="3699510"/>
            <wp:effectExtent l="0" t="0" r="1016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 w:firstLineChars="0"/>
        <w:rPr>
          <w:rFonts w:ascii="宋体" w:hAnsi="宋体" w:cs="宋体"/>
          <w:b/>
          <w:color w:val="FF0000"/>
          <w:kern w:val="0"/>
          <w:sz w:val="24"/>
        </w:rPr>
      </w:pPr>
      <w:r>
        <w:drawing>
          <wp:inline distT="0" distB="0" distL="0" distR="0">
            <wp:extent cx="5603240" cy="3999230"/>
            <wp:effectExtent l="0" t="0" r="1651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  <w:szCs w:val="40"/>
        </w:rPr>
      </w:pPr>
      <w:r>
        <w:rPr>
          <w:rFonts w:hint="eastAsia" w:ascii="方正楷体_GBK" w:hAnsi="方正楷体_GBK" w:eastAsia="方正楷体_GBK" w:cs="方正楷体_GBK"/>
          <w:sz w:val="32"/>
          <w:szCs w:val="40"/>
        </w:rPr>
        <w:t>在线学习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default" w:ascii="Times New Roman" w:hAnsi="Times New Roman" w:eastAsia="方正仿宋_GBK" w:cs="Times New Roman"/>
          <w:sz w:val="32"/>
          <w:szCs w:val="40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40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40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选好课程后，点击“进入学习”按钮参加学习。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664200" cy="3592195"/>
            <wp:effectExtent l="0" t="0" r="1270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（</w:t>
      </w:r>
      <w:r>
        <w:rPr>
          <w:rFonts w:hint="eastAsia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）课程学习：进入课程学习页面，点击“在线播放”，开始课程学习，系统将记录听课时长作为已完成学时。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 w:firstLineChars="0"/>
        <w:jc w:val="center"/>
        <w:rPr>
          <w:rFonts w:ascii="宋体" w:hAnsi="宋体" w:cs="宋体"/>
          <w:color w:val="333333"/>
          <w:kern w:val="0"/>
          <w:sz w:val="24"/>
        </w:rPr>
      </w:pPr>
      <w:r>
        <w:drawing>
          <wp:inline distT="0" distB="0" distL="0" distR="0">
            <wp:extent cx="5576570" cy="2649855"/>
            <wp:effectExtent l="0" t="0" r="508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）资料下载：每门课程附有“讲义资料下载”。“点此下载”即可浏览下载一些经授课教师授权的PDF课件或相关阅读材料，还可以保存至本地查看。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 w:firstLineChars="0"/>
        <w:jc w:val="center"/>
        <w:rPr>
          <w:rFonts w:ascii="宋体" w:hAnsi="宋体" w:cs="宋体"/>
          <w:color w:val="333333"/>
          <w:kern w:val="0"/>
          <w:sz w:val="24"/>
        </w:rPr>
      </w:pPr>
      <w:r>
        <w:drawing>
          <wp:inline distT="0" distB="0" distL="0" distR="0">
            <wp:extent cx="5490210" cy="2405380"/>
            <wp:effectExtent l="0" t="0" r="1524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3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  <w:szCs w:val="40"/>
        </w:rPr>
      </w:pPr>
      <w:r>
        <w:rPr>
          <w:rFonts w:hint="eastAsia" w:ascii="方正楷体_GBK" w:hAnsi="方正楷体_GBK" w:eastAsia="方正楷体_GBK" w:cs="方正楷体_GBK"/>
          <w:sz w:val="32"/>
          <w:szCs w:val="40"/>
          <w:lang w:val="en-US" w:eastAsia="zh-CN"/>
        </w:rPr>
        <w:t>2、</w:t>
      </w:r>
      <w:r>
        <w:rPr>
          <w:rFonts w:hint="eastAsia" w:ascii="方正楷体_GBK" w:hAnsi="方正楷体_GBK" w:eastAsia="方正楷体_GBK" w:cs="方正楷体_GBK"/>
          <w:sz w:val="32"/>
          <w:szCs w:val="40"/>
        </w:rPr>
        <w:t>课后练习及考试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课后练习：在学员学习完课程，进入考试之前，可在课程学习栏点击“课后练习”以熟悉考试题型及难度。</w:t>
      </w:r>
    </w:p>
    <w:p>
      <w:pPr>
        <w:ind w:firstLine="0" w:firstLineChars="0"/>
        <w:jc w:val="center"/>
        <w:rPr>
          <w:rFonts w:ascii="宋体" w:hAnsi="宋体" w:cs="宋体"/>
          <w:color w:val="333333"/>
          <w:kern w:val="0"/>
          <w:sz w:val="24"/>
        </w:rPr>
      </w:pPr>
      <w:r>
        <w:drawing>
          <wp:inline distT="0" distB="0" distL="0" distR="0">
            <wp:extent cx="5628640" cy="3151505"/>
            <wp:effectExtent l="0" t="0" r="1016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rcRect b="47432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3151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 w:firstLineChars="0"/>
        <w:jc w:val="center"/>
        <w:rPr>
          <w:rFonts w:ascii="宋体" w:hAnsi="宋体" w:cs="宋体"/>
          <w:color w:val="333333"/>
          <w:kern w:val="0"/>
          <w:sz w:val="24"/>
        </w:rPr>
      </w:pPr>
      <w:r>
        <w:drawing>
          <wp:inline distT="0" distB="0" distL="0" distR="0">
            <wp:extent cx="5593715" cy="3426460"/>
            <wp:effectExtent l="0" t="0" r="69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 w:firstLineChars="0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2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40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40"/>
        </w:rPr>
        <w:t>（2）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40"/>
        </w:rPr>
        <w:t>参加考试：完成在线学习后，需进行相应考试，合格标准为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40"/>
        </w:rPr>
        <w:t>60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40"/>
        </w:rPr>
        <w:t>分。达到规定学时后，可点击“进入考试”按钮参加考试。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 w:firstLineChars="0"/>
        <w:jc w:val="center"/>
        <w:rPr>
          <w:rFonts w:ascii="宋体" w:hAnsi="宋体" w:cs="宋体"/>
          <w:color w:val="333333"/>
          <w:kern w:val="0"/>
          <w:sz w:val="24"/>
        </w:rPr>
      </w:pPr>
      <w:r>
        <w:drawing>
          <wp:inline distT="0" distB="0" distL="0" distR="0">
            <wp:extent cx="5603240" cy="3378200"/>
            <wp:effectExtent l="0" t="0" r="16510" b="127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rcRect b="47255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37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 w:firstLineChars="0"/>
        <w:jc w:val="center"/>
        <w:rPr>
          <w:rFonts w:ascii="宋体" w:hAnsi="宋体" w:cs="宋体"/>
          <w:color w:val="333333"/>
          <w:kern w:val="0"/>
          <w:sz w:val="24"/>
        </w:rPr>
      </w:pPr>
      <w:r>
        <w:drawing>
          <wp:inline distT="0" distB="0" distL="0" distR="0">
            <wp:extent cx="5559425" cy="2158365"/>
            <wp:effectExtent l="0" t="0" r="317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t>注：满分100分，60分合格。考试合格后，在“培训报告”处点击“打印合格证书”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 w:firstLineChars="0"/>
        <w:jc w:val="center"/>
        <w:rPr>
          <w:rFonts w:ascii="宋体" w:hAnsi="宋体" w:cs="宋体"/>
          <w:color w:val="333333"/>
          <w:kern w:val="0"/>
          <w:sz w:val="24"/>
        </w:rPr>
      </w:pPr>
      <w:r>
        <w:drawing>
          <wp:inline distT="0" distB="0" distL="0" distR="0">
            <wp:extent cx="5473065" cy="2354580"/>
            <wp:effectExtent l="0" t="0" r="1333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rcRect t="-301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354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/>
        <w:textAlignment w:val="auto"/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40"/>
        </w:rPr>
        <w:t>（3）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培训报告：在首页“培训报告”区可以查看培训和考试情况（参考条件将以已完成学时为准）</w:t>
      </w: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507355" cy="2350770"/>
            <wp:effectExtent l="0" t="0" r="1714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3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  <w:szCs w:val="40"/>
        </w:rPr>
      </w:pPr>
      <w:r>
        <w:rPr>
          <w:rFonts w:hint="eastAsia" w:ascii="方正楷体_GBK" w:hAnsi="方正楷体_GBK" w:eastAsia="方正楷体_GBK" w:cs="方正楷体_GBK"/>
          <w:sz w:val="32"/>
          <w:szCs w:val="40"/>
          <w:lang w:val="en-US" w:eastAsia="zh-CN"/>
        </w:rPr>
        <w:t>3、</w:t>
      </w:r>
      <w:r>
        <w:rPr>
          <w:rFonts w:hint="eastAsia" w:ascii="方正楷体_GBK" w:hAnsi="方正楷体_GBK" w:eastAsia="方正楷体_GBK" w:cs="方正楷体_GBK"/>
          <w:sz w:val="32"/>
          <w:szCs w:val="40"/>
        </w:rPr>
        <w:t>教务咨询电话及工作时间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咨询电话：</w:t>
      </w:r>
      <w:r>
        <w:rPr>
          <w:rFonts w:hint="default" w:ascii="Times New Roman" w:hAnsi="Times New Roman" w:eastAsia="方正仿宋_GBK" w:cs="Times New Roman"/>
          <w:sz w:val="32"/>
          <w:szCs w:val="40"/>
        </w:rPr>
        <w:t>4009005955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（免长途，仅收市话费）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咨询时间：</w:t>
      </w:r>
      <w:r>
        <w:rPr>
          <w:rFonts w:hint="eastAsia" w:ascii="Times New Roman" w:hAnsi="Times New Roman" w:eastAsia="方正仿宋_GBK" w:cs="Times New Roman"/>
          <w:sz w:val="32"/>
          <w:szCs w:val="40"/>
        </w:rPr>
        <w:t>24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小时（全年无休）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在线咨询：页面左侧的【在线客服】，以QQ方式进行沟通。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/>
        <w:textAlignment w:val="auto"/>
        <w:rPr>
          <w:rFonts w:hint="eastAsia" w:ascii="Times New Roman" w:hAnsi="Times New Roman" w:eastAsia="方正仿宋_GBK" w:cs="Times New Roman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传  真：</w:t>
      </w:r>
      <w:r>
        <w:rPr>
          <w:rFonts w:hint="eastAsia" w:ascii="Times New Roman" w:hAnsi="Times New Roman" w:eastAsia="方正仿宋_GBK" w:cs="Times New Roman"/>
          <w:sz w:val="32"/>
          <w:szCs w:val="40"/>
        </w:rPr>
        <w:t>021-69768028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E-mail：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fldChar w:fldCharType="begin"/>
      </w:r>
      <w:r>
        <w:rPr>
          <w:rFonts w:hint="eastAsia" w:ascii="方正仿宋_GBK" w:hAnsi="方正仿宋_GBK" w:eastAsia="方正仿宋_GBK" w:cs="方正仿宋_GBK"/>
          <w:sz w:val="32"/>
          <w:szCs w:val="40"/>
        </w:rPr>
        <w:instrText xml:space="preserve"> HYPERLINK "mailto:elearn@snai.edu" </w:instrTex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fldChar w:fldCharType="separate"/>
      </w:r>
      <w:r>
        <w:rPr>
          <w:rStyle w:val="14"/>
          <w:rFonts w:hint="eastAsia" w:ascii="方正仿宋_GBK" w:hAnsi="方正仿宋_GBK" w:eastAsia="方正仿宋_GBK" w:cs="方正仿宋_GBK"/>
          <w:sz w:val="32"/>
          <w:szCs w:val="40"/>
        </w:rPr>
        <w:t>elearn@snai.edu</w:t>
      </w:r>
      <w:r>
        <w:rPr>
          <w:rStyle w:val="14"/>
          <w:rFonts w:hint="eastAsia" w:ascii="方正仿宋_GBK" w:hAnsi="方正仿宋_GBK" w:eastAsia="方正仿宋_GBK" w:cs="方正仿宋_GBK"/>
          <w:sz w:val="32"/>
          <w:szCs w:val="40"/>
        </w:rPr>
        <w:fldChar w:fldCharType="end"/>
      </w:r>
    </w:p>
    <w:p>
      <w:pPr>
        <w:ind w:firstLine="0" w:firstLineChars="0"/>
        <w:jc w:val="center"/>
      </w:pPr>
      <w:r>
        <w:drawing>
          <wp:inline distT="0" distB="0" distL="0" distR="0">
            <wp:extent cx="4514850" cy="26003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CN"/>
        </w:rPr>
        <w:t>五、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2022年注册会计师执业会员继续教育网络培训课程表</w:t>
      </w: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9"/>
        <w:gridCol w:w="2858"/>
        <w:gridCol w:w="4919"/>
        <w:gridCol w:w="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tblHeader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类别名称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课程名称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学时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思政课程--职业道德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职业道德守则修订要点暨精要讲解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思政课程--职业道德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我国注册会计师行业改革与发展40周年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思政课程--职业道德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品读苏轼作品点亮职业道德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思政课程--职业价值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人生与职业的价值:重读马克思《青年人选择职业时的考虑》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思政课程--职业价值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如何成为一名受人尊敬的注册会计师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审计准则问题解答第1号-职业怀疑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审计准则问题解答第4号-收入确认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审计准则问题解答第14号-关键审计事项-IPO审计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审计准则问题解答第15号-其他信息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审计准则1101号-注册会计师的总体目标和审计工作的基本要求（2019）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审计准则1121号-对财务报表审计实施的质量控制（2019）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审计准则1141号-财务报表审计中与舞弊相关的责任（2019）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审计准则1142号-财务报表审计中对法律法规的考虑（2019）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审计准则1151号-与治理层的沟通（2019）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审计准则1211号-通过了解被审计单位及其环境识别和评估重大错报风险（2019）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审计准则1221号-计划和执行审计工作时的重要性（2019）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审计准则1231号-针对评估的重大错报风险采取的应对措施（2019）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审计准则1251号-评价审计过程中识别出的错报（2019）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审计准则1501号-对财务报表形成审计意见和出具审计报告（2019）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审计准则1502号-在审计报告中发表非无保留意见（2019）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审计准则1503号-在审计报告中增加强调事项段和其他事项段（2019）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审计准则1504号-在审计报告中沟通关键审计事项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审计--注册会计师执业准则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审计准则1511号-比较信息：对应数据和比较财务报表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审计--审计基础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控制测试工作底稿编制讲解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司法会计鉴定意见书的规范研究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司法会计鉴定条件评估与完善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司法会计鉴定的需求与供给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财务诡计及智能预警（一）财务诡计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财务诡计及智能预警（二）报表事项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30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财务诡计及智能预警（三）特殊事项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31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财务诡计及智能预警（四）智能预警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32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《大数据如何为财会赋能》-审计实务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33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《大数据如何为财会赋能》-财务分析实务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34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《大数据如何为财会赋能》-财务预测实务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35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风险评估工作底稿1-了解被审计单位及其环境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36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风险评估工作底稿2-了解被审计单位内部控制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37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风险评估工作底稿3-汇总和总结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38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注册会计师经营风险与法律责任防范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39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业务完成阶段工作底稿的编制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40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其他项目工作底稿的编制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41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实质性程序审计工作底稿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9.3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42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CPA出庭准备与质证技巧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43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初步业务活动工作底稿的编制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44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审计工作底稿编制讲解总论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45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集团财务报表审计中的常见问题分析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46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现金流量表审计中的常见问题分析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47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期间费用审计中的常见问题分析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48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风险评估审计程序中的常见问题分析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49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收入舞弊风险的识别与应对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50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审计--审计实务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存货监盘的审计风险及管控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51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审计--计算机审计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说说CPA行业信息化-苏州众勤信息化建设实践与思考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52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审计--计算机审计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智能审计论道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53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审计--计算机审计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智能审计与远程审计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54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互联网+背景下的内部审计转型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55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内审项目管理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56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合同管理与审计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57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违法发放贷款案件线索审计查处技巧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58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受贿类（非国家工作人员受贿罪）案件线索审计案例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59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受贿类（非国家工作人员受贿罪）案件线索审计查处技巧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60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最新经济责任审计规定专题讲解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61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贪污职务侵占罪审计案例库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62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贪污职务侵占类案件审计实务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63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揪出工资发放中的【贪蚁】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64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旁门左道的企业融资性贸易审计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65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企业维修项目背后的猫腻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66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金融类公司的反舞弊审计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67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房地产行业的反舞弊案例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68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瑞幸，去掉“美颜”的“毒角兽”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69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审计--内部审计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揭秘互联网行业的反腐大战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70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财务--财务分析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金融资产财务陷阱与分析思路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71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财务--财务管理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风险管理信息收集与识别-实务1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72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财务--财务管理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风险管理信息收集与识别-实务2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73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财务--财务管理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风险管理信息收集与识别-实务3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74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会计--财务会计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碳中和对企业财务会计的影响与应对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75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会计--财务会计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财务会计报告的目标和使用者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76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会计--财务会计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《住宅专项维修资金会计核算办法》讲解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77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会计--财务会计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财务报表的重分类2——利润表重分类及ROCE分解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78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会计--财务会计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财务报表的重分类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79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低碳背景下企业管理会计新实践调研报告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80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管理会计助力低碳发展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81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打造可持续未来进程中银行应扮演的角色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82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迈向碳中和：管理会计挑战与展望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83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金融助力碳中和：央行、商行与保险在行动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84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低碳发展：管理的绿色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85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管理会计应用实践分享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86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低碳发展：管理会计应用与创新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87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碳交易，碳资产与企业价值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88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绿色低碳经济发展环境下会计挑战与应对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89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“双碳”背景下的管理会计体系创新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90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“双碳”目标下的资本市场蜕变与选择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91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低碳发展与管理的绿色使命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92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会计--管理会计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低碳发展与数字化转型中的管理会计创新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93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绩效评价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部门整体支出绩效评价管理办法解读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94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绩效评价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项目支出绩效评价管理办法解读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95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绩效评价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政策支出绩效评价管理办法解读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96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绩效评价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如何撰写财政项目支出绩效评价报告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97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绩效评价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部门整体支出绩效评价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98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绩效评价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全面实施预算绩效管理，提高财政资源配置效率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99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会计--会计基础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上海市市级行政事业单位国有资产公物仓管理办法（试行）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100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会计--会计基础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商誉减值测试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101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会计--会计基础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间接成本分配的核心问题、方法与应用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102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会计--会计基础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独资合伙企业不得核定征收的41号公告解读与实务思考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103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会计--会计基础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影响收入规模的重要准则：判断主要责任人和代理人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104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会计--会计基础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什么是业务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105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会计--会计基础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合同负债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106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投资性房地产的判断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107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2021-2022跨年政策解读与实务变化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108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从恒大债务风险看企业的债务陷阱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109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新政下2021年底结账税会疑难点处理及风险应对（收入、费用和利润篇）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110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新政下2021年底结账税会疑难点处理及风险应对（负债和所有者权益篇）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111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什么是关联方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112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新租赁准则疑难点问题解析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113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发票开具和审核要点解析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114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会计准则实施问答汇编（1-28）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115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会计准则实务问答汇编（1-67）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116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会计--会计实务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新冠肺炎疫情相关租金减让会计处理规定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117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会计--企业会计准则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新保险会计准则（1）：新保险合同准则背景及框架介绍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118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会计--企业会计准则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新保险会计准则（2）：保险合同计量模型—要素法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119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会计--企业会计准则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新保险会计准则（3）：保险合同计量模型—浮动收费法及保费分配法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120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会计--企业会计准则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新收入准则若干问题探讨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121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会计--企业会计准则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《企业会计准则第14号-收入》最新讲解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122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会计--企业会计准则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新金融工具相关会计准则金融资产转移-以应收款项保理为例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123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会计--企业会计准则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新金融工具相关会计准则债务与权益的区分-以永续债、优先股为例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124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会计--企业会计准则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企业会计准则讲解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125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会计--企业会计准则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企业会计准则解释第14号（上）—PPP项目合同的会计处理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126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会计--企业会计准则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企业会计准则解释第14号（下）—基准利率改革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127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会计--企业会计准则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《关于严格执行企业会计准则切实加强企业2020年年报工作的通知》政策解读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128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金融--金融实务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北交所与资本市场热点解析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129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金融--金融实务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企业金融衍生品业务管理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130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金融--金融实务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注册制现场督导与现场检查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131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金融--金融实务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注册制改革背景下的A股股权融资市场介绍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132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金融--金融实务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注册制财务审核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133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金融--金融实务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房地产资产证券化策略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134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金融--金融实务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估值案例：上汽股份财务分析与股票估值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135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金融--金融实务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政策解读的基本功修炼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136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金融--金融实务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票据市场发展与业务风险防范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137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金融--金融实务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新冠疫情下的经济金融形势分析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138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《国务院国资委：建设世界一流财务管理体系》政策解读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139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《法治政府建设实施纲要（2021-2025年）》解读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140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国办发[2021]30号文件解读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141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筑牢国家生物安全法律屏障——《中华人民共和国生物安全法》解读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142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虹桥品牌发展历程与长三角一体化高质量发展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143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《行政事业性国有资产管理条例》政策解读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144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唱好“双城记”建优“经济圈”的川渝行动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145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财税人员需关注的行政处罚法最新修订要点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146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民法典合同编解读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147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民法典里的时代精神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148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新《证券法》修订内容解析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149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《企业安全生产费用提取和使用管理办法》讲解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150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《证券法》修订后对相关市场参与主体的影响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151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经济法--政策解读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疫情防控期间劳动用工合规指南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152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内部控制--内控基础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看懂内控之一：认识风险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153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内部控制--内控基础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看懂内控之二：内控基础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154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内部控制--内控基础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看懂内控之三：内控之难与惑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155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内部控制--内控实务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企业日常财务处理中的内控风险及管控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156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2022年“两会”财税热点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157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个人所得税年度汇算、筹划与改革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158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企业所得税年度申报表最新调整与填报注意事项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159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2022个税综合所得汇算清缴实务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160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全年一次性奖金政策延长——个税年终奖规划与注意事项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161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从网红主播补税看个税常见风险指标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162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全电发票试点推行及要点解析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163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新政下2021年底结账税会疑难点处理及风险防范（资产篇）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164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对赌协议的法律风险防范与税务风险应对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165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不公允增资的涉税处理探讨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166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年底到期税费政策梳理与风险应对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167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增值税发票备注栏政策梳理及风险防范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168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破产企业税收热点难点问题解析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169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跨境应税行为零税率退（免）税政策、税会处理实务精讲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170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以数治税金税四期与跨税种风险联动分析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171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外综服企业代办退税政策、税会处理实务精讲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172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外贸企业出口退（免）税政策、税会处理实务精讲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173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一般纳税人增值税申报表填报实操（一）：申报表概述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174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一般纳税人增值税申报表填报实操（二）：销项表填列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175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一般纳税人增值税申报表填报实操（三）：进项表填列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176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一般纳税人增值税申报表填报实操（四）：减免表填列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177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一般纳税人增值税申报表填报实操（五）：主报表填列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178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小规模纳税人增值税申报表填报实操2021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179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互联网时代增值税进项税抵扣疑难问题新解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180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税务稽查新程序下企业如何合法保护自身权益？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181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自然灾害财税处理实务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182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企业IPO税务分析及筹划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183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2021年增值税纳税义务发生时间重难点问题解析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184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新环境下企业财税规范难点和解决方案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185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直播带货涉税风险与监管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186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研发费新政解读与年度纳税申报报表填报实务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187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2021企业所得税年报变化解读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188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所得税年报风险预警与最新优惠政策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189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非货币性资产投资的税会差异及风险防范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190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个税经营所得政策、申报实操与风险点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191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2021企业涉税实务变化与风险点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192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税务稽查基本知识和应对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193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2021税务稽查新动向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194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金税四期背景下税收风险防范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195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税法--税收实务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增值税电子专票开票方和受票方操作实务与风险控制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196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税法--税收政策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3月份减免新政综述与实务解读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197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税法--税收政策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2021纳税信用修复新政解读与实务处理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198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税法--税收政策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延期缴纳税款新政、对比解读与隐藏风险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199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税法--税收政策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印花税解法读及实施前风险防控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200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税法--税收政策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契税法执行口径与实务解读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201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税法--税收政策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《关于通过公益性群众团体的公益性捐赠税前扣除有关事项的公告》政策解读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202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税法--税收政策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2021新版增值税、消费税申报表解读与分析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203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税法--税收政策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税收滞纳金政策分析与实务案例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204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税法--税收政策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最新企业所得税优惠政策深度解析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205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税法--税收政策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2021年税务稽查选户重点常见问题与检查要点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206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思政课程--诚信建设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九十年诚信立潮头-立信品牌建设经验分享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207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思政课程--诚信建设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合伙制、合伙文化与合伙人治理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208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思政课程--诚信建设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CPA诚信文化的困境与出路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209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完整准确全面贯彻新发展理念，确保“十四五”时期我国发展开好局起好步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210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党的十九届六中全会暨《中共中央关于党的百年奋斗重大成就和历史经验的决议》总体解读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211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推进全面依法治国，坚持依宪治国、依宪执政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212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学习安徽省第十一次党代会报告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213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学习习近平的“读书之道”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214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努力成为可堪大用能担重任的栋梁之才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215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坚持马克思主义在意识形态领域指导地位的根本制度，牢牢掌握意识形态工作领导权、管理权、话语权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216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《毛泽东的账簿》系列讲座：毛泽东的生活账和稿酬账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217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《毛泽东的账簿》系列讲座：毛泽东“用算账的方法”发动民众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218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《毛泽东的账簿》系列讲座：三湾改编，毛泽东把账簿建在连上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219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中国共产党的精神之源——伟大建党精神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220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以史为鉴、开创未来，必须坚持中国共产党的坚强领导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221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深入学习贯彻习近平总书记在“七一”庆祝中国共产党成立100周年大会上的重要讲话精神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222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“两个百年”和“两个大局”中的中国共产党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223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品诗词学党史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224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思政课程--党建课程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中共中央早期经费与会计人员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225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管理--管理技能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高效沟通力课堂（3）：小故事大作用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226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管理--管理技能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高效沟通力课堂（4）：发挥一点幽默感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227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管理--管理技能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高效沟通力课堂（5）：演讲是传递情感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228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管理--管理技能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疫情影响下企业财务的应对措施及对会计能力的新要求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229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管理--管理技能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数据与治理：疫情下的思考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230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管理--管理技能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媒体时代的舆情管理和危机应对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231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管理--管理者智慧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财务人员电信网络诈骗防范宣传2020版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232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管理--战略管理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深入学习贯彻习近平总书记关于数字经济发展的系列重要指示精神，全面落实国家数字经济发展战略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233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管理--战略管理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在线教育企业的战略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234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管理--战略管理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长江三角洲区域一体化发展专题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235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综合--计算机技术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财务Python技能课堂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236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综合--计算机技术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量子科技进展与应用前景简介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237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综合--心理健康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心理危机识别与应对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238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综合--心理健康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如何科学管理情绪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39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239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综合--心理健康</w:t>
            </w:r>
          </w:p>
        </w:tc>
        <w:tc>
          <w:tcPr>
            <w:tcW w:w="2648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改变我们的生活——成为压力管理的高手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2.8</w:t>
            </w:r>
          </w:p>
        </w:tc>
      </w:tr>
    </w:tbl>
    <w:p>
      <w:pPr>
        <w:ind w:firstLine="0" w:firstLineChars="0"/>
        <w:jc w:val="center"/>
        <w:rPr>
          <w:rFonts w:hint="eastAsia" w:ascii="仿宋" w:hAnsi="仿宋" w:eastAsia="仿宋"/>
          <w:b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40"/>
          <w:lang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417" w:bottom="1871" w:left="141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240" w:lineRule="auto"/>
      <w:ind w:firstLine="0" w:firstLineChars="0"/>
      <w:jc w:val="center"/>
      <w:rPr>
        <w:u w:val="single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AC4EA9"/>
    <w:multiLevelType w:val="multilevel"/>
    <w:tmpl w:val="52AC4EA9"/>
    <w:lvl w:ilvl="0" w:tentative="0">
      <w:start w:val="1"/>
      <w:numFmt w:val="decimal"/>
      <w:pStyle w:val="22"/>
      <w:lvlText w:val="%1."/>
      <w:lvlJc w:val="left"/>
      <w:pPr>
        <w:ind w:left="425" w:hanging="425"/>
      </w:pPr>
      <w:rPr>
        <w:b/>
      </w:rPr>
    </w:lvl>
    <w:lvl w:ilvl="1" w:tentative="0">
      <w:start w:val="1"/>
      <w:numFmt w:val="decimal"/>
      <w:pStyle w:val="2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26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28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E87"/>
    <w:rsid w:val="00021DCD"/>
    <w:rsid w:val="00022577"/>
    <w:rsid w:val="00055A8B"/>
    <w:rsid w:val="000E1ABD"/>
    <w:rsid w:val="001168A2"/>
    <w:rsid w:val="00150C45"/>
    <w:rsid w:val="00192ECC"/>
    <w:rsid w:val="001D7B3D"/>
    <w:rsid w:val="001F3E1D"/>
    <w:rsid w:val="00211D31"/>
    <w:rsid w:val="00230432"/>
    <w:rsid w:val="002338E8"/>
    <w:rsid w:val="00254839"/>
    <w:rsid w:val="00263E87"/>
    <w:rsid w:val="00295E68"/>
    <w:rsid w:val="002D3038"/>
    <w:rsid w:val="0032783A"/>
    <w:rsid w:val="003413FD"/>
    <w:rsid w:val="00394A13"/>
    <w:rsid w:val="003F4D04"/>
    <w:rsid w:val="004147EF"/>
    <w:rsid w:val="00442B67"/>
    <w:rsid w:val="00496D5C"/>
    <w:rsid w:val="004A58C8"/>
    <w:rsid w:val="004C103E"/>
    <w:rsid w:val="004C1FF1"/>
    <w:rsid w:val="004C2640"/>
    <w:rsid w:val="004F1DF7"/>
    <w:rsid w:val="004F4E50"/>
    <w:rsid w:val="00515219"/>
    <w:rsid w:val="00552B46"/>
    <w:rsid w:val="00557988"/>
    <w:rsid w:val="005D4687"/>
    <w:rsid w:val="005F0A03"/>
    <w:rsid w:val="00617EB4"/>
    <w:rsid w:val="006853F1"/>
    <w:rsid w:val="00696D22"/>
    <w:rsid w:val="006C6354"/>
    <w:rsid w:val="00755B72"/>
    <w:rsid w:val="00772E1A"/>
    <w:rsid w:val="00785EC1"/>
    <w:rsid w:val="007C2D2D"/>
    <w:rsid w:val="007E53B3"/>
    <w:rsid w:val="007F60B8"/>
    <w:rsid w:val="0083351F"/>
    <w:rsid w:val="008608AF"/>
    <w:rsid w:val="00880673"/>
    <w:rsid w:val="008B253F"/>
    <w:rsid w:val="008C0CED"/>
    <w:rsid w:val="00901DF4"/>
    <w:rsid w:val="00906C0B"/>
    <w:rsid w:val="009601D5"/>
    <w:rsid w:val="00964A92"/>
    <w:rsid w:val="009D6BF6"/>
    <w:rsid w:val="009E5761"/>
    <w:rsid w:val="00A12F36"/>
    <w:rsid w:val="00A42F67"/>
    <w:rsid w:val="00A708BC"/>
    <w:rsid w:val="00A8579F"/>
    <w:rsid w:val="00B409B8"/>
    <w:rsid w:val="00B467BE"/>
    <w:rsid w:val="00B9154F"/>
    <w:rsid w:val="00BA70CE"/>
    <w:rsid w:val="00BC6A2C"/>
    <w:rsid w:val="00C01CA0"/>
    <w:rsid w:val="00C14541"/>
    <w:rsid w:val="00C84A39"/>
    <w:rsid w:val="00CC19DC"/>
    <w:rsid w:val="00CE0FAC"/>
    <w:rsid w:val="00D12EBD"/>
    <w:rsid w:val="00D57631"/>
    <w:rsid w:val="00D65C40"/>
    <w:rsid w:val="00D823C4"/>
    <w:rsid w:val="00D82851"/>
    <w:rsid w:val="00D82904"/>
    <w:rsid w:val="00DC118A"/>
    <w:rsid w:val="00DC2B13"/>
    <w:rsid w:val="00DD7349"/>
    <w:rsid w:val="00E549D2"/>
    <w:rsid w:val="00E94D20"/>
    <w:rsid w:val="00E9514D"/>
    <w:rsid w:val="00EE7D96"/>
    <w:rsid w:val="00EF6954"/>
    <w:rsid w:val="00F069D8"/>
    <w:rsid w:val="00F23C08"/>
    <w:rsid w:val="00F33A29"/>
    <w:rsid w:val="00F37E2A"/>
    <w:rsid w:val="00F4571E"/>
    <w:rsid w:val="00F65346"/>
    <w:rsid w:val="00F85F3D"/>
    <w:rsid w:val="00F93181"/>
    <w:rsid w:val="00FA0F04"/>
    <w:rsid w:val="00FA17A4"/>
    <w:rsid w:val="00FC3C4B"/>
    <w:rsid w:val="051A1FFF"/>
    <w:rsid w:val="36C21279"/>
    <w:rsid w:val="3E367B27"/>
    <w:rsid w:val="470E3674"/>
    <w:rsid w:val="626870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32"/>
    <w:semiHidden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 w:firstLineChars="0"/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page number"/>
    <w:basedOn w:val="11"/>
    <w:uiPriority w:val="0"/>
  </w:style>
  <w:style w:type="character" w:styleId="14">
    <w:name w:val="Hyperlink"/>
    <w:basedOn w:val="11"/>
    <w:unhideWhenUsed/>
    <w:uiPriority w:val="99"/>
    <w:rPr>
      <w:color w:val="0000FF"/>
      <w:u w:val="single"/>
    </w:rPr>
  </w:style>
  <w:style w:type="character" w:customStyle="1" w:styleId="15">
    <w:name w:val="页眉 Char"/>
    <w:basedOn w:val="11"/>
    <w:link w:val="7"/>
    <w:uiPriority w:val="99"/>
    <w:rPr>
      <w:sz w:val="18"/>
      <w:szCs w:val="18"/>
    </w:rPr>
  </w:style>
  <w:style w:type="character" w:customStyle="1" w:styleId="16">
    <w:name w:val="页脚 Char"/>
    <w:basedOn w:val="11"/>
    <w:link w:val="6"/>
    <w:uiPriority w:val="99"/>
    <w:rPr>
      <w:sz w:val="18"/>
      <w:szCs w:val="18"/>
    </w:rPr>
  </w:style>
  <w:style w:type="character" w:customStyle="1" w:styleId="17">
    <w:name w:val="批注框文本 Char"/>
    <w:basedOn w:val="11"/>
    <w:link w:val="5"/>
    <w:semiHidden/>
    <w:uiPriority w:val="99"/>
    <w:rPr>
      <w:sz w:val="18"/>
      <w:szCs w:val="18"/>
    </w:rPr>
  </w:style>
  <w:style w:type="paragraph" w:styleId="18">
    <w:name w:val="List Paragraph"/>
    <w:basedOn w:val="1"/>
    <w:link w:val="24"/>
    <w:qFormat/>
    <w:uiPriority w:val="34"/>
    <w:pPr>
      <w:ind w:firstLine="420"/>
    </w:pPr>
  </w:style>
  <w:style w:type="character" w:customStyle="1" w:styleId="19">
    <w:name w:val="标题 1 Char"/>
    <w:basedOn w:val="11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0">
    <w:name w:val="标题 2 Char"/>
    <w:basedOn w:val="11"/>
    <w:link w:val="3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1">
    <w:name w:val="标题 3 Char"/>
    <w:basedOn w:val="11"/>
    <w:link w:val="4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22">
    <w:name w:val="1级标题"/>
    <w:basedOn w:val="18"/>
    <w:link w:val="25"/>
    <w:qFormat/>
    <w:uiPriority w:val="0"/>
    <w:pPr>
      <w:numPr>
        <w:ilvl w:val="0"/>
        <w:numId w:val="1"/>
      </w:numPr>
      <w:ind w:left="0" w:firstLine="0" w:firstLineChars="0"/>
      <w:jc w:val="left"/>
      <w:outlineLvl w:val="0"/>
    </w:pPr>
    <w:rPr>
      <w:rFonts w:asciiTheme="minorEastAsia" w:hAnsiTheme="minorEastAsia" w:eastAsiaTheme="minorEastAsia"/>
      <w:b/>
    </w:rPr>
  </w:style>
  <w:style w:type="paragraph" w:customStyle="1" w:styleId="23">
    <w:name w:val="2级标题"/>
    <w:basedOn w:val="18"/>
    <w:link w:val="27"/>
    <w:qFormat/>
    <w:uiPriority w:val="0"/>
    <w:pPr>
      <w:numPr>
        <w:ilvl w:val="1"/>
        <w:numId w:val="1"/>
      </w:numPr>
      <w:ind w:left="0" w:firstLine="0" w:firstLineChars="0"/>
      <w:jc w:val="left"/>
      <w:outlineLvl w:val="1"/>
    </w:pPr>
    <w:rPr>
      <w:rFonts w:asciiTheme="minorEastAsia" w:hAnsiTheme="minorEastAsia" w:eastAsiaTheme="minorEastAsia"/>
    </w:rPr>
  </w:style>
  <w:style w:type="character" w:customStyle="1" w:styleId="24">
    <w:name w:val="列出段落 Char"/>
    <w:basedOn w:val="11"/>
    <w:link w:val="18"/>
    <w:uiPriority w:val="34"/>
    <w:rPr>
      <w:rFonts w:ascii="Times New Roman" w:hAnsi="Times New Roman" w:eastAsia="宋体" w:cs="Times New Roman"/>
      <w:szCs w:val="24"/>
    </w:rPr>
  </w:style>
  <w:style w:type="character" w:customStyle="1" w:styleId="25">
    <w:name w:val="1级标题 Char"/>
    <w:basedOn w:val="24"/>
    <w:link w:val="22"/>
    <w:qFormat/>
    <w:uiPriority w:val="0"/>
    <w:rPr>
      <w:rFonts w:eastAsia="宋体" w:cs="Times New Roman" w:asciiTheme="minorEastAsia" w:hAnsiTheme="minorEastAsia"/>
      <w:b/>
      <w:szCs w:val="24"/>
    </w:rPr>
  </w:style>
  <w:style w:type="paragraph" w:customStyle="1" w:styleId="26">
    <w:name w:val="3级标题"/>
    <w:basedOn w:val="18"/>
    <w:link w:val="29"/>
    <w:qFormat/>
    <w:uiPriority w:val="0"/>
    <w:pPr>
      <w:numPr>
        <w:ilvl w:val="2"/>
        <w:numId w:val="1"/>
      </w:numPr>
      <w:ind w:left="0" w:firstLine="0" w:firstLineChars="0"/>
      <w:jc w:val="left"/>
      <w:outlineLvl w:val="2"/>
    </w:pPr>
    <w:rPr>
      <w:rFonts w:asciiTheme="minorEastAsia" w:hAnsiTheme="minorEastAsia" w:eastAsiaTheme="minorEastAsia"/>
    </w:rPr>
  </w:style>
  <w:style w:type="character" w:customStyle="1" w:styleId="27">
    <w:name w:val="2级标题 Char"/>
    <w:basedOn w:val="24"/>
    <w:link w:val="23"/>
    <w:qFormat/>
    <w:uiPriority w:val="0"/>
    <w:rPr>
      <w:rFonts w:eastAsia="宋体" w:cs="Times New Roman" w:asciiTheme="minorEastAsia" w:hAnsiTheme="minorEastAsia"/>
      <w:szCs w:val="24"/>
    </w:rPr>
  </w:style>
  <w:style w:type="paragraph" w:customStyle="1" w:styleId="28">
    <w:name w:val="4级标题"/>
    <w:basedOn w:val="18"/>
    <w:link w:val="30"/>
    <w:qFormat/>
    <w:uiPriority w:val="0"/>
    <w:pPr>
      <w:numPr>
        <w:ilvl w:val="3"/>
        <w:numId w:val="1"/>
      </w:numPr>
      <w:ind w:left="0" w:firstLine="0" w:firstLineChars="0"/>
      <w:jc w:val="left"/>
      <w:outlineLvl w:val="3"/>
    </w:pPr>
    <w:rPr>
      <w:rFonts w:asciiTheme="minorEastAsia" w:hAnsiTheme="minorEastAsia" w:eastAsiaTheme="minorEastAsia"/>
    </w:rPr>
  </w:style>
  <w:style w:type="character" w:customStyle="1" w:styleId="29">
    <w:name w:val="3级标题 Char"/>
    <w:basedOn w:val="24"/>
    <w:link w:val="26"/>
    <w:qFormat/>
    <w:uiPriority w:val="0"/>
    <w:rPr>
      <w:rFonts w:eastAsia="宋体" w:cs="Times New Roman" w:asciiTheme="minorEastAsia" w:hAnsiTheme="minorEastAsia"/>
      <w:szCs w:val="24"/>
    </w:rPr>
  </w:style>
  <w:style w:type="character" w:customStyle="1" w:styleId="30">
    <w:name w:val="4级标题 Char"/>
    <w:basedOn w:val="24"/>
    <w:link w:val="28"/>
    <w:qFormat/>
    <w:uiPriority w:val="0"/>
    <w:rPr>
      <w:rFonts w:eastAsia="宋体" w:cs="Times New Roman" w:asciiTheme="minorEastAsia" w:hAnsiTheme="minorEastAsia"/>
      <w:szCs w:val="24"/>
    </w:rPr>
  </w:style>
  <w:style w:type="character" w:customStyle="1" w:styleId="31">
    <w:name w:val="blue141"/>
    <w:basedOn w:val="11"/>
    <w:qFormat/>
    <w:uiPriority w:val="0"/>
    <w:rPr>
      <w:color w:val="00006B"/>
      <w:sz w:val="21"/>
      <w:szCs w:val="21"/>
    </w:rPr>
  </w:style>
  <w:style w:type="character" w:customStyle="1" w:styleId="32">
    <w:name w:val="HTML 预设格式 Char"/>
    <w:basedOn w:val="11"/>
    <w:link w:val="8"/>
    <w:semiHidden/>
    <w:qFormat/>
    <w:uiPriority w:val="99"/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emf"/><Relationship Id="rId17" Type="http://schemas.openxmlformats.org/officeDocument/2006/relationships/oleObject" Target="embeddings/oleObject1.bin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7505</Words>
  <Characters>8850</Characters>
  <Lines>11</Lines>
  <Paragraphs>3</Paragraphs>
  <TotalTime>2</TotalTime>
  <ScaleCrop>false</ScaleCrop>
  <LinksUpToDate>false</LinksUpToDate>
  <CharactersWithSpaces>8872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2019-04-26T06:11:00Z</dcterms:created>
  <dc:creator>Windows 用户</dc:creator>
  <cp:lastModifiedBy>，</cp:lastModifiedBy>
  <cp:lastPrinted>2015-01-04T07:56:00Z</cp:lastPrinted>
  <dcterms:modified xsi:type="dcterms:W3CDTF">2022-04-13T07:06:25Z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D7443341C0DB4E4AA7B49BF5B8AF0B77</vt:lpwstr>
  </property>
</Properties>
</file>